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553F" w14:textId="77777777" w:rsidR="0034690C" w:rsidRDefault="0034690C" w:rsidP="00E619D5">
      <w:pPr>
        <w:jc w:val="center"/>
        <w:rPr>
          <w:b/>
        </w:rPr>
      </w:pPr>
    </w:p>
    <w:p w14:paraId="49651FE3" w14:textId="77777777" w:rsidR="0034690C" w:rsidRDefault="0034690C" w:rsidP="00E619D5">
      <w:pPr>
        <w:jc w:val="center"/>
        <w:rPr>
          <w:b/>
        </w:rPr>
      </w:pPr>
    </w:p>
    <w:p w14:paraId="478524AD" w14:textId="77777777" w:rsidR="00316E9B" w:rsidRPr="00E619D5" w:rsidRDefault="00E619D5" w:rsidP="00E619D5">
      <w:pPr>
        <w:jc w:val="center"/>
        <w:rPr>
          <w:b/>
        </w:rPr>
      </w:pPr>
      <w:r w:rsidRPr="00E619D5">
        <w:rPr>
          <w:b/>
        </w:rPr>
        <w:t xml:space="preserve">AVENANT n°1 A LA </w:t>
      </w:r>
      <w:r w:rsidR="00316E9B" w:rsidRPr="00E619D5">
        <w:rPr>
          <w:b/>
        </w:rPr>
        <w:t>CONVENTION TYPE ENTRE L’ECO-ORGANISME DE LA FILIERE DES DECHETS DIFFUS SPECIFIQUES MENAGERS ET LES COLLECTIVITES TERRITORIALES</w:t>
      </w:r>
    </w:p>
    <w:p w14:paraId="59DCD930" w14:textId="77777777" w:rsidR="00E619D5" w:rsidRDefault="00E619D5" w:rsidP="00316E9B"/>
    <w:p w14:paraId="0884E633" w14:textId="77777777" w:rsidR="00316E9B" w:rsidRDefault="00316E9B" w:rsidP="00316E9B">
      <w:r>
        <w:t>ENTRE</w:t>
      </w:r>
    </w:p>
    <w:p w14:paraId="6D7FEB3F" w14:textId="77777777" w:rsidR="00316E9B" w:rsidRDefault="00316E9B" w:rsidP="00316E9B">
      <w:r w:rsidRPr="00072F64">
        <w:rPr>
          <w:b/>
        </w:rPr>
        <w:t>EcoDDS</w:t>
      </w:r>
      <w:r>
        <w:t xml:space="preserve">, </w:t>
      </w:r>
      <w:r w:rsidR="00072F64">
        <w:t>s</w:t>
      </w:r>
      <w:r w:rsidR="00072F64" w:rsidRPr="00072F64">
        <w:t xml:space="preserve">ociété par actions simplifiée au capital de 70 000 €, immatriculée au Registre du Commerce et des Sociétés de Nanterre sous le numéro 751 139 940, dont le siège se situe au 117, avenue Victor Hugo, 92100 BOULOGNE-BILLANCOURT, représentée </w:t>
      </w:r>
      <w:r w:rsidR="00072F64">
        <w:t>par son Directeur Général,</w:t>
      </w:r>
    </w:p>
    <w:p w14:paraId="5F70BCFB" w14:textId="77777777" w:rsidR="00316E9B" w:rsidRDefault="00316E9B" w:rsidP="00316E9B">
      <w:r>
        <w:t>Ci-après dénommée « EcoDDS»,</w:t>
      </w:r>
    </w:p>
    <w:p w14:paraId="030ED502" w14:textId="77777777" w:rsidR="00316E9B" w:rsidRDefault="00316E9B" w:rsidP="00316E9B">
      <w:r>
        <w:t>D’UNE PART,</w:t>
      </w:r>
    </w:p>
    <w:p w14:paraId="6B0E6FD0" w14:textId="77777777" w:rsidR="00316E9B" w:rsidRDefault="00316E9B" w:rsidP="00316E9B">
      <w:r>
        <w:t>ET</w:t>
      </w:r>
    </w:p>
    <w:p w14:paraId="23E46059" w14:textId="77777777" w:rsidR="00316E9B" w:rsidRDefault="00316E9B" w:rsidP="00316E9B">
      <w:permStart w:id="342248346" w:edGrp="everyone"/>
      <w:r>
        <w:t>______________________________________________________________________________</w:t>
      </w:r>
    </w:p>
    <w:permEnd w:id="342248346"/>
    <w:p w14:paraId="0B510263" w14:textId="77777777" w:rsidR="00316E9B" w:rsidRDefault="00316E9B" w:rsidP="00316E9B">
      <w:r>
        <w:t>Représenté(e) par</w:t>
      </w:r>
      <w:permStart w:id="1757301607" w:edGrp="everyone"/>
      <w:r>
        <w:t>_______________________________________________________________</w:t>
      </w:r>
    </w:p>
    <w:permEnd w:id="1757301607"/>
    <w:p w14:paraId="3DD55174" w14:textId="77777777" w:rsidR="00316E9B" w:rsidRDefault="00316E9B" w:rsidP="00316E9B">
      <w:r>
        <w:t>Agissant en application de la délibération du</w:t>
      </w:r>
      <w:permStart w:id="1354004306" w:edGrp="everyone"/>
      <w:r>
        <w:t>__________________________________________</w:t>
      </w:r>
    </w:p>
    <w:permEnd w:id="1354004306"/>
    <w:p w14:paraId="3BA29F8A" w14:textId="77777777" w:rsidR="00316E9B" w:rsidRDefault="00316E9B" w:rsidP="00316E9B">
      <w:r>
        <w:t xml:space="preserve">Ci-après dénommée </w:t>
      </w:r>
      <w:r w:rsidR="0034690C">
        <w:t>la</w:t>
      </w:r>
      <w:r>
        <w:t xml:space="preserve"> COLLECTIVITE,</w:t>
      </w:r>
    </w:p>
    <w:p w14:paraId="68CF4726" w14:textId="77777777" w:rsidR="00316E9B" w:rsidRDefault="00316E9B" w:rsidP="00316E9B">
      <w:r>
        <w:t xml:space="preserve">D’AUTRE PART, </w:t>
      </w:r>
    </w:p>
    <w:p w14:paraId="72E96AB9" w14:textId="77777777" w:rsidR="00316E9B" w:rsidRDefault="00316E9B"/>
    <w:p w14:paraId="7FB026F3" w14:textId="77777777" w:rsidR="00072F64" w:rsidRDefault="00072F64">
      <w:r>
        <w:br w:type="page"/>
      </w:r>
    </w:p>
    <w:p w14:paraId="23D34046" w14:textId="77777777" w:rsidR="00072F64" w:rsidRPr="00072F64" w:rsidRDefault="00072F64" w:rsidP="00072F64">
      <w:pPr>
        <w:jc w:val="center"/>
        <w:rPr>
          <w:b/>
        </w:rPr>
      </w:pPr>
      <w:r w:rsidRPr="00072F64">
        <w:rPr>
          <w:b/>
        </w:rPr>
        <w:lastRenderedPageBreak/>
        <w:t>Préambule</w:t>
      </w:r>
    </w:p>
    <w:p w14:paraId="7A558AFA" w14:textId="5DCA5A27" w:rsidR="00072F64" w:rsidRDefault="00072F64" w:rsidP="00663D79">
      <w:pPr>
        <w:jc w:val="both"/>
      </w:pPr>
      <w:r>
        <w:t xml:space="preserve">EcoDDS est un éco-organisme </w:t>
      </w:r>
      <w:r w:rsidR="00E26CEC">
        <w:t xml:space="preserve">opérationnel </w:t>
      </w:r>
      <w:r w:rsidR="00D377E9">
        <w:t xml:space="preserve">de </w:t>
      </w:r>
      <w:r>
        <w:t xml:space="preserve">la filière à responsabilité élargie </w:t>
      </w:r>
      <w:r w:rsidR="00663D79">
        <w:t>des producteurs de l’article des Déchets Diffus Spécifiques</w:t>
      </w:r>
      <w:r w:rsidR="005B0635">
        <w:t xml:space="preserve"> ménagers (DDS ménagers)</w:t>
      </w:r>
      <w:r w:rsidR="00D377E9">
        <w:t>,</w:t>
      </w:r>
      <w:r w:rsidR="00663D79">
        <w:t xml:space="preserve"> </w:t>
      </w:r>
      <w:r w:rsidR="00D377E9">
        <w:t>agréé au titre de l’article R 543-234 du code de l’environnement une première fois par arrêté interministériel du 9 avril 2013 pour la période 20 avril 2013 au 31 décembre 2017, puis par arrêté du 22 décembre 2017</w:t>
      </w:r>
      <w:r w:rsidR="00C13225">
        <w:t xml:space="preserve"> pour la période du 1</w:t>
      </w:r>
      <w:r w:rsidR="00C13225" w:rsidRPr="00C13225">
        <w:rPr>
          <w:vertAlign w:val="superscript"/>
        </w:rPr>
        <w:t>er</w:t>
      </w:r>
      <w:r w:rsidR="00C13225">
        <w:t xml:space="preserve"> janvier 2018</w:t>
      </w:r>
      <w:r w:rsidR="00D377E9">
        <w:t xml:space="preserve"> au </w:t>
      </w:r>
      <w:r w:rsidR="00C13225">
        <w:t>31 décembre 2018.</w:t>
      </w:r>
    </w:p>
    <w:p w14:paraId="3EC198F3" w14:textId="77777777" w:rsidR="006E41DE" w:rsidRDefault="0034690C" w:rsidP="006E41DE">
      <w:pPr>
        <w:jc w:val="both"/>
      </w:pPr>
      <w:r>
        <w:t xml:space="preserve">Le cahier des charges d’agrément des éco-organismes agréés au titre de l’article R 543-234 du code de l’environnement dispose </w:t>
      </w:r>
      <w:r w:rsidR="0017582E">
        <w:t>que les éco-organismes</w:t>
      </w:r>
      <w:r w:rsidR="006E41DE">
        <w:t xml:space="preserve"> conclu</w:t>
      </w:r>
      <w:r w:rsidR="0017582E">
        <w:t>en</w:t>
      </w:r>
      <w:r w:rsidR="006E41DE">
        <w:t>t un contrat-type avec</w:t>
      </w:r>
      <w:r w:rsidR="006E41DE" w:rsidRPr="006E41DE">
        <w:t xml:space="preserve"> </w:t>
      </w:r>
      <w:r w:rsidR="006E41DE">
        <w:t xml:space="preserve">les collectivités territoriales compétentes en matière de collecte séparée des </w:t>
      </w:r>
      <w:r w:rsidR="005B0635">
        <w:t>déchets diffus spécifiques</w:t>
      </w:r>
      <w:r w:rsidR="006E41DE">
        <w:t xml:space="preserve"> ménagers qui en font la demande et qui s’engagent à respecter ce contrat.</w:t>
      </w:r>
      <w:r>
        <w:t xml:space="preserve"> </w:t>
      </w:r>
      <w:r w:rsidR="006E41DE">
        <w:t xml:space="preserve">Une convention-type </w:t>
      </w:r>
      <w:r w:rsidR="00B619E5">
        <w:t>à durée indéterminée a</w:t>
      </w:r>
      <w:r w:rsidR="006E41DE">
        <w:t xml:space="preserve"> ainsi été proposée par EcoDDS lors de la période d’agrément antérieure au 31 décembre 2017</w:t>
      </w:r>
      <w:r w:rsidR="00B619E5">
        <w:t>.</w:t>
      </w:r>
      <w:r w:rsidR="00A62C69">
        <w:t xml:space="preserve"> </w:t>
      </w:r>
    </w:p>
    <w:p w14:paraId="24156D22" w14:textId="77777777" w:rsidR="00316E9B" w:rsidRDefault="00B619E5" w:rsidP="009773C6">
      <w:pPr>
        <w:jc w:val="both"/>
      </w:pPr>
      <w:r>
        <w:t>A l’initiative de l’Association des Maires de France et des Présidents d’Intercommunalité</w:t>
      </w:r>
      <w:r w:rsidR="0017582E">
        <w:t xml:space="preserve"> d’une part</w:t>
      </w:r>
      <w:r w:rsidR="009773C6">
        <w:t xml:space="preserve"> et d’EcoDDS</w:t>
      </w:r>
      <w:r w:rsidR="0017582E">
        <w:t xml:space="preserve"> d’autre part</w:t>
      </w:r>
      <w:r w:rsidR="009773C6">
        <w:t xml:space="preserve">, </w:t>
      </w:r>
      <w:r w:rsidR="00D93B83">
        <w:t>un avenant à la convention-type en vigueur a été élaboré, en vue de revaloriser le barème de soutiens financiers</w:t>
      </w:r>
      <w:r w:rsidR="0017582E">
        <w:t>,</w:t>
      </w:r>
      <w:r w:rsidR="00846480">
        <w:t xml:space="preserve"> dit barème aval</w:t>
      </w:r>
      <w:r w:rsidR="00D93B83">
        <w:t>. Cet avenant a été soumis à la</w:t>
      </w:r>
      <w:r w:rsidR="009773C6">
        <w:t xml:space="preserve"> concertation </w:t>
      </w:r>
      <w:r w:rsidR="009773C6" w:rsidRPr="009773C6">
        <w:t>avec des représentants des collectivités territoriales</w:t>
      </w:r>
      <w:r w:rsidR="002D13B9">
        <w:t>, puis</w:t>
      </w:r>
      <w:r w:rsidR="00D93B83">
        <w:t xml:space="preserve"> communiqué aux ministères délivrant l’agrément.</w:t>
      </w:r>
      <w:r w:rsidR="001E5640">
        <w:t xml:space="preserve"> </w:t>
      </w:r>
    </w:p>
    <w:p w14:paraId="6508766F" w14:textId="3738390C" w:rsidR="00F54871" w:rsidRDefault="001E5640" w:rsidP="009773C6">
      <w:pPr>
        <w:jc w:val="both"/>
      </w:pPr>
      <w:r>
        <w:t xml:space="preserve">Considérant que le cahier des charges annexé </w:t>
      </w:r>
      <w:bookmarkStart w:id="0" w:name="_Hlk505101699"/>
      <w:r>
        <w:t xml:space="preserve">à l’arrêté ministériel du 15 juin 2012 </w:t>
      </w:r>
      <w:bookmarkEnd w:id="0"/>
      <w:r>
        <w:t xml:space="preserve">dispose que les éco-organismes agréés s’assurent de la </w:t>
      </w:r>
      <w:bookmarkStart w:id="1" w:name="_GoBack"/>
      <w:r>
        <w:t xml:space="preserve">simplicité </w:t>
      </w:r>
      <w:bookmarkEnd w:id="1"/>
      <w:r>
        <w:t>des modalités administratives de gestion du contrat </w:t>
      </w:r>
      <w:r w:rsidR="005B0635">
        <w:t>avec les collectivités territoriales</w:t>
      </w:r>
      <w:r w:rsidR="00902499">
        <w:t> ; qu’il convient donc en particulier</w:t>
      </w:r>
      <w:r w:rsidR="00F54871">
        <w:t xml:space="preserve"> </w:t>
      </w:r>
      <w:r w:rsidR="00902499">
        <w:t xml:space="preserve">de simplifier </w:t>
      </w:r>
      <w:r w:rsidR="00FD2A8D">
        <w:t>le calcul des soutiens versés par EcoDDS</w:t>
      </w:r>
      <w:r w:rsidR="00F54871">
        <w:t>.</w:t>
      </w:r>
    </w:p>
    <w:p w14:paraId="74AB6FA1" w14:textId="22027407" w:rsidR="00F710DE" w:rsidRPr="00F710DE" w:rsidRDefault="00DA2FC9" w:rsidP="00F710DE">
      <w:pPr>
        <w:pStyle w:val="Sansinterligne"/>
        <w:jc w:val="both"/>
      </w:pPr>
      <w:r>
        <w:t>Considérant que, selon l’article 4.3 de la convention-type, les soutiens dus au titre de l’année N (DDS collectés en année N</w:t>
      </w:r>
      <w:r w:rsidR="009B3329">
        <w:t>)</w:t>
      </w:r>
      <w:r>
        <w:t xml:space="preserve"> sont payés en année N+1 ; </w:t>
      </w:r>
      <w:r w:rsidR="00F710DE">
        <w:t>que</w:t>
      </w:r>
      <w:r w:rsidR="00933AB9">
        <w:t>, malgré l</w:t>
      </w:r>
      <w:r w:rsidR="0076114A">
        <w:t xml:space="preserve">es circonstances </w:t>
      </w:r>
      <w:r>
        <w:t xml:space="preserve">ayant conduit à la délivrance tardive de son agrément </w:t>
      </w:r>
      <w:r w:rsidR="0076114A">
        <w:t>à EcoDDS</w:t>
      </w:r>
      <w:r w:rsidR="009B3329">
        <w:t xml:space="preserve">, et afin de faire bénéficier les collectivités </w:t>
      </w:r>
      <w:r w:rsidR="00D30AFA">
        <w:t xml:space="preserve">territoriales </w:t>
      </w:r>
      <w:r w:rsidR="009B3329">
        <w:t>d’un barème aval plus favorable</w:t>
      </w:r>
      <w:r w:rsidR="00F710DE">
        <w:t>,</w:t>
      </w:r>
      <w:r w:rsidR="0076114A">
        <w:t xml:space="preserve"> </w:t>
      </w:r>
      <w:r w:rsidR="00DE6BA1">
        <w:t xml:space="preserve">les parties </w:t>
      </w:r>
      <w:r w:rsidR="009B3329">
        <w:t>conviennent</w:t>
      </w:r>
      <w:r w:rsidR="00A475D8">
        <w:t xml:space="preserve"> d’une application </w:t>
      </w:r>
      <w:r w:rsidR="00F710DE">
        <w:t>rétroactive</w:t>
      </w:r>
      <w:r>
        <w:t xml:space="preserve"> </w:t>
      </w:r>
      <w:r w:rsidR="00A475D8">
        <w:t>du</w:t>
      </w:r>
      <w:r>
        <w:t xml:space="preserve"> nouveau barème</w:t>
      </w:r>
      <w:r w:rsidR="00FB10E0">
        <w:t xml:space="preserve"> aval</w:t>
      </w:r>
      <w:r>
        <w:t xml:space="preserve"> aux DDS ménagers collectés à partir du 1</w:t>
      </w:r>
      <w:r w:rsidRPr="00DA2FC9">
        <w:rPr>
          <w:vertAlign w:val="superscript"/>
        </w:rPr>
        <w:t>er</w:t>
      </w:r>
      <w:r>
        <w:t xml:space="preserve"> janvier 2018</w:t>
      </w:r>
      <w:r w:rsidR="00DE6BA1">
        <w:t>, dès lors que l’avenant est</w:t>
      </w:r>
      <w:r w:rsidR="00D30AFA">
        <w:t xml:space="preserve"> régularisé </w:t>
      </w:r>
      <w:r w:rsidR="00DE6BA1">
        <w:t>par les collectivités territoriales</w:t>
      </w:r>
      <w:r w:rsidR="00D87490">
        <w:t xml:space="preserve"> </w:t>
      </w:r>
      <w:r w:rsidR="00DE6BA1">
        <w:t xml:space="preserve">avant le </w:t>
      </w:r>
      <w:r w:rsidR="00157460">
        <w:t>30 juin 2018 inclus</w:t>
      </w:r>
      <w:r w:rsidR="00A475D8">
        <w:t>.</w:t>
      </w:r>
    </w:p>
    <w:p w14:paraId="6FE67363" w14:textId="77777777" w:rsidR="009F3D44" w:rsidRDefault="009F3D44" w:rsidP="009773C6">
      <w:pPr>
        <w:jc w:val="both"/>
      </w:pPr>
    </w:p>
    <w:p w14:paraId="76E59F90" w14:textId="77777777" w:rsidR="00ED2F79" w:rsidRDefault="00ED2F79" w:rsidP="009773C6">
      <w:pPr>
        <w:jc w:val="both"/>
        <w:rPr>
          <w:b/>
        </w:rPr>
      </w:pPr>
      <w:r w:rsidRPr="00ED2F79">
        <w:rPr>
          <w:b/>
        </w:rPr>
        <w:t>Il a été convenu ce qui suit :</w:t>
      </w:r>
    </w:p>
    <w:p w14:paraId="6227483A" w14:textId="1CA660AD" w:rsidR="009C0AFC" w:rsidRDefault="009C0AFC" w:rsidP="009773C6">
      <w:pPr>
        <w:jc w:val="both"/>
        <w:rPr>
          <w:b/>
          <w:u w:val="single"/>
        </w:rPr>
      </w:pPr>
      <w:r w:rsidRPr="009C0AFC">
        <w:rPr>
          <w:b/>
          <w:u w:val="single"/>
        </w:rPr>
        <w:t>Article 1</w:t>
      </w:r>
      <w:r w:rsidRPr="009C0AFC">
        <w:rPr>
          <w:b/>
          <w:u w:val="single"/>
          <w:vertAlign w:val="superscript"/>
        </w:rPr>
        <w:t>er</w:t>
      </w:r>
      <w:r w:rsidR="006A5168">
        <w:rPr>
          <w:b/>
          <w:u w:val="single"/>
        </w:rPr>
        <w:t> : Modifications de la convention-type</w:t>
      </w:r>
    </w:p>
    <w:p w14:paraId="180ACF16" w14:textId="7EDDFECC" w:rsidR="009C0AFC" w:rsidRDefault="006A5168" w:rsidP="009773C6">
      <w:pPr>
        <w:jc w:val="both"/>
      </w:pPr>
      <w:r>
        <w:t xml:space="preserve">1.1.- </w:t>
      </w:r>
      <w:r w:rsidR="009C0AFC" w:rsidRPr="009C0AFC">
        <w:t>L</w:t>
      </w:r>
      <w:r w:rsidR="009C0AFC">
        <w:t>a phrase suivante de l’annexe 3 :</w:t>
      </w:r>
    </w:p>
    <w:p w14:paraId="71B735B0" w14:textId="77777777" w:rsidR="009C0AFC" w:rsidRDefault="009C0AFC" w:rsidP="009C0AFC">
      <w:pPr>
        <w:ind w:left="709"/>
        <w:jc w:val="both"/>
      </w:pPr>
      <w:r>
        <w:t xml:space="preserve">« 2. Structure du barème de soutien EcoDDS à partir de 2014 et jusqu’à la fin de l’agrément » </w:t>
      </w:r>
    </w:p>
    <w:p w14:paraId="1C9391B5" w14:textId="57854696" w:rsidR="009C0AFC" w:rsidRPr="009C0AFC" w:rsidRDefault="00115F19" w:rsidP="009773C6">
      <w:pPr>
        <w:jc w:val="both"/>
      </w:pPr>
      <w:r>
        <w:t>e</w:t>
      </w:r>
      <w:r w:rsidR="009C0AFC">
        <w:t xml:space="preserve">st remplacée par : </w:t>
      </w:r>
    </w:p>
    <w:p w14:paraId="64498E77" w14:textId="29BA7718" w:rsidR="009C0AFC" w:rsidRDefault="009C0AFC" w:rsidP="009C0AFC">
      <w:pPr>
        <w:ind w:left="709"/>
        <w:jc w:val="both"/>
      </w:pPr>
      <w:r>
        <w:t>« </w:t>
      </w:r>
      <w:r w:rsidR="00DE2855">
        <w:t>ANNEXE 3</w:t>
      </w:r>
      <w:r w:rsidR="00C944C1">
        <w:t>-2</w:t>
      </w:r>
      <w:r w:rsidR="00DE2855">
        <w:t xml:space="preserve"> - </w:t>
      </w:r>
      <w:r>
        <w:t xml:space="preserve">Structure du barème de soutien EcoDDS à partir de 2014 et jusqu’à fin 2017 (soutiens sur les DDS ménagers collectés en 2017, versés en 2018) » </w:t>
      </w:r>
    </w:p>
    <w:p w14:paraId="2CD1F7B8" w14:textId="77777777" w:rsidR="006A5168" w:rsidRDefault="006A5168" w:rsidP="009773C6">
      <w:pPr>
        <w:jc w:val="both"/>
      </w:pPr>
    </w:p>
    <w:p w14:paraId="1F0F5B5B" w14:textId="1E93F2AF" w:rsidR="002267F3" w:rsidRDefault="006A5168" w:rsidP="009773C6">
      <w:pPr>
        <w:jc w:val="both"/>
      </w:pPr>
      <w:r w:rsidRPr="006A5168">
        <w:t xml:space="preserve">1.2. </w:t>
      </w:r>
      <w:r w:rsidR="00E34C97">
        <w:t>Il est ajouté à la fin de l</w:t>
      </w:r>
      <w:r w:rsidR="002267F3">
        <w:t xml:space="preserve">’annexe 3 </w:t>
      </w:r>
      <w:r w:rsidR="00290684">
        <w:t xml:space="preserve">de la convention-type </w:t>
      </w:r>
      <w:r w:rsidR="002267F3">
        <w:t>les dispositions suivantes :</w:t>
      </w:r>
    </w:p>
    <w:p w14:paraId="2B3073D9" w14:textId="13A3E2A8" w:rsidR="002267F3" w:rsidRDefault="00C94652" w:rsidP="00BE31DF">
      <w:pPr>
        <w:ind w:left="567"/>
        <w:jc w:val="both"/>
      </w:pPr>
      <w:bookmarkStart w:id="2" w:name="_Hlk505116933"/>
      <w:r>
        <w:t>« </w:t>
      </w:r>
      <w:r w:rsidR="001F5E5A">
        <w:t>ANNEXE 3</w:t>
      </w:r>
      <w:r w:rsidR="00C944C1">
        <w:t>-3</w:t>
      </w:r>
      <w:r w:rsidR="009C0AFC">
        <w:t xml:space="preserve"> </w:t>
      </w:r>
      <w:r w:rsidR="00E34C97">
        <w:t>– soutiens applicables au titre de la collecte effectuée à partir du 1</w:t>
      </w:r>
      <w:r w:rsidR="00E34C97" w:rsidRPr="00E34C97">
        <w:rPr>
          <w:vertAlign w:val="superscript"/>
        </w:rPr>
        <w:t>er</w:t>
      </w:r>
      <w:r w:rsidR="00E34C97">
        <w:t xml:space="preserve"> janvier 2018</w:t>
      </w:r>
    </w:p>
    <w:bookmarkEnd w:id="2"/>
    <w:p w14:paraId="7CD928BD" w14:textId="77777777" w:rsidR="004420A8" w:rsidRDefault="004420A8" w:rsidP="00BE31DF">
      <w:pPr>
        <w:ind w:left="567"/>
        <w:jc w:val="both"/>
      </w:pPr>
      <w:r>
        <w:t xml:space="preserve">Les soutiens à la collecte séparée des DDS collectés </w:t>
      </w:r>
      <w:r w:rsidR="007C40A1">
        <w:t>à partir du 1</w:t>
      </w:r>
      <w:r w:rsidR="007C40A1" w:rsidRPr="007C40A1">
        <w:rPr>
          <w:vertAlign w:val="superscript"/>
        </w:rPr>
        <w:t>er</w:t>
      </w:r>
      <w:r w:rsidR="007C40A1">
        <w:t xml:space="preserve"> janvier </w:t>
      </w:r>
      <w:r>
        <w:t>2018</w:t>
      </w:r>
      <w:r w:rsidR="00002135">
        <w:t xml:space="preserve"> </w:t>
      </w:r>
      <w:r>
        <w:t>sont fixés comme suit :</w:t>
      </w:r>
    </w:p>
    <w:p w14:paraId="31FCE3DB" w14:textId="0EBD692F" w:rsidR="001F5E5A" w:rsidRDefault="001F5E5A" w:rsidP="00BE31DF">
      <w:pPr>
        <w:ind w:left="567"/>
        <w:jc w:val="both"/>
      </w:pPr>
      <w:r w:rsidRPr="001F5E5A">
        <w:lastRenderedPageBreak/>
        <w:t xml:space="preserve">1.- Soutien </w:t>
      </w:r>
      <w:r w:rsidR="00002135">
        <w:t xml:space="preserve">financier </w:t>
      </w:r>
      <w:r w:rsidRPr="001F5E5A">
        <w:t>à la collecte séparée des déchets diffus spécifiques ménagers</w:t>
      </w:r>
      <w:r w:rsidR="00002135">
        <w:t xml:space="preserve"> (payé </w:t>
      </w:r>
      <w:r w:rsidR="00137C71">
        <w:t>à partir de</w:t>
      </w:r>
      <w:r w:rsidR="00002135">
        <w:t xml:space="preserve"> 2019)</w:t>
      </w:r>
    </w:p>
    <w:p w14:paraId="4DBE1283" w14:textId="331797C9" w:rsidR="00587276" w:rsidRDefault="0014752B" w:rsidP="00BE31DF">
      <w:pPr>
        <w:ind w:left="567"/>
        <w:jc w:val="both"/>
      </w:pPr>
      <w:r>
        <w:t xml:space="preserve">1.1.- </w:t>
      </w:r>
      <w:r w:rsidR="005B0635">
        <w:t>Le soutien financier correspondant à la part dite fixe des coûts de collecte (article A.1.1 de l’annexe I de</w:t>
      </w:r>
      <w:r w:rsidR="005B0635" w:rsidRPr="005B0635">
        <w:t xml:space="preserve"> l’arrêté ministériel du 15 juin 2012</w:t>
      </w:r>
      <w:r w:rsidR="005B0635">
        <w:t xml:space="preserve">) est fixé </w:t>
      </w:r>
      <w:r w:rsidR="00587276">
        <w:t xml:space="preserve">forfaitairement </w:t>
      </w:r>
      <w:r w:rsidR="005B0635">
        <w:t xml:space="preserve">à 686 € par </w:t>
      </w:r>
      <w:r w:rsidR="00902499">
        <w:t>déchetterie</w:t>
      </w:r>
      <w:r w:rsidR="005B0635">
        <w:t xml:space="preserve"> et par an</w:t>
      </w:r>
      <w:r w:rsidR="00DA4FDB">
        <w:t>née complète d’exploitation</w:t>
      </w:r>
      <w:r w:rsidR="00F559FC">
        <w:t xml:space="preserve">. </w:t>
      </w:r>
      <w:r w:rsidR="001D7793">
        <w:t>Il est payé à partir de 2019.</w:t>
      </w:r>
    </w:p>
    <w:p w14:paraId="796DBED3" w14:textId="0D713164" w:rsidR="00B53DFB" w:rsidRDefault="0014752B" w:rsidP="00E54CEB">
      <w:pPr>
        <w:ind w:left="567"/>
        <w:jc w:val="both"/>
      </w:pPr>
      <w:r>
        <w:t xml:space="preserve">1.2.- </w:t>
      </w:r>
      <w:r w:rsidR="005B0635">
        <w:t>Le soutien financier à la collecte séparée correspondant à la part dite variable des coûts de collecte (article A.1.</w:t>
      </w:r>
      <w:r w:rsidR="006C2481">
        <w:t>2</w:t>
      </w:r>
      <w:r w:rsidR="005B0635">
        <w:t xml:space="preserve"> de l’annexe I de</w:t>
      </w:r>
      <w:r w:rsidR="005B0635" w:rsidRPr="005B0635">
        <w:t xml:space="preserve"> l’arrêté ministériel du 15 juin 2012</w:t>
      </w:r>
      <w:r w:rsidR="005B0635">
        <w:t>) est fonction</w:t>
      </w:r>
      <w:r w:rsidR="00F54871">
        <w:t>, par souci de simplification</w:t>
      </w:r>
      <w:r w:rsidR="005B0635">
        <w:t xml:space="preserve"> des </w:t>
      </w:r>
      <w:r w:rsidR="0054471B">
        <w:t>calculs des soutiens financiers</w:t>
      </w:r>
      <w:r w:rsidR="005B0635">
        <w:t xml:space="preserve">, </w:t>
      </w:r>
      <w:r w:rsidR="00A42E6F">
        <w:t>de quatre tranches</w:t>
      </w:r>
      <w:r w:rsidR="0002595C">
        <w:t> :</w:t>
      </w: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02595C" w14:paraId="2AF313BF" w14:textId="77777777" w:rsidTr="00E54CEB">
        <w:tc>
          <w:tcPr>
            <w:tcW w:w="5103" w:type="dxa"/>
          </w:tcPr>
          <w:p w14:paraId="154D2C24" w14:textId="77777777" w:rsidR="0002595C" w:rsidRDefault="0002595C" w:rsidP="009773C6">
            <w:pPr>
              <w:jc w:val="both"/>
            </w:pPr>
            <w:r>
              <w:t xml:space="preserve">Quantité de DDS ménagers collectés </w:t>
            </w:r>
            <w:r w:rsidR="0072268A">
              <w:t>par année civile</w:t>
            </w:r>
          </w:p>
        </w:tc>
        <w:tc>
          <w:tcPr>
            <w:tcW w:w="3544" w:type="dxa"/>
          </w:tcPr>
          <w:p w14:paraId="4CA32C9B" w14:textId="0A4CFF99" w:rsidR="0002595C" w:rsidRDefault="0002595C" w:rsidP="009773C6">
            <w:pPr>
              <w:jc w:val="both"/>
            </w:pPr>
            <w:r>
              <w:t xml:space="preserve">Soutien unitaire par </w:t>
            </w:r>
            <w:r w:rsidR="00902499">
              <w:t>déchetterie</w:t>
            </w:r>
            <w:r w:rsidR="00002135">
              <w:t xml:space="preserve"> (payé </w:t>
            </w:r>
            <w:r w:rsidR="001D7793">
              <w:t>à partir de</w:t>
            </w:r>
            <w:r w:rsidR="00002135">
              <w:t xml:space="preserve"> 2019)</w:t>
            </w:r>
          </w:p>
        </w:tc>
      </w:tr>
      <w:tr w:rsidR="0002595C" w14:paraId="472B4613" w14:textId="77777777" w:rsidTr="00E54CEB">
        <w:tc>
          <w:tcPr>
            <w:tcW w:w="5103" w:type="dxa"/>
          </w:tcPr>
          <w:p w14:paraId="4A494D45" w14:textId="77777777" w:rsidR="0002595C" w:rsidRDefault="0002595C" w:rsidP="009773C6">
            <w:pPr>
              <w:jc w:val="both"/>
            </w:pPr>
            <w:r>
              <w:t xml:space="preserve">Quantité </w:t>
            </w:r>
            <w:r w:rsidR="00112254">
              <w:t xml:space="preserve">strictement </w:t>
            </w:r>
            <w:r>
              <w:t xml:space="preserve">supérieure à 48 tonnes </w:t>
            </w:r>
          </w:p>
        </w:tc>
        <w:tc>
          <w:tcPr>
            <w:tcW w:w="3544" w:type="dxa"/>
          </w:tcPr>
          <w:p w14:paraId="79262375" w14:textId="77777777" w:rsidR="0002595C" w:rsidRDefault="0002595C" w:rsidP="006C2481">
            <w:pPr>
              <w:jc w:val="center"/>
            </w:pPr>
            <w:r>
              <w:t>2.727 €</w:t>
            </w:r>
          </w:p>
        </w:tc>
      </w:tr>
      <w:tr w:rsidR="0002595C" w14:paraId="1A508360" w14:textId="77777777" w:rsidTr="00E54CEB">
        <w:tc>
          <w:tcPr>
            <w:tcW w:w="5103" w:type="dxa"/>
          </w:tcPr>
          <w:p w14:paraId="622C296E" w14:textId="77777777" w:rsidR="0002595C" w:rsidRDefault="0002595C" w:rsidP="009773C6">
            <w:pPr>
              <w:jc w:val="both"/>
            </w:pPr>
            <w:r>
              <w:t xml:space="preserve">Quantité </w:t>
            </w:r>
            <w:r w:rsidR="00112254">
              <w:t xml:space="preserve">strictement </w:t>
            </w:r>
            <w:r>
              <w:t xml:space="preserve">supérieure à 24 tonnes et inférieure </w:t>
            </w:r>
            <w:r w:rsidR="00112254">
              <w:t>ou égale</w:t>
            </w:r>
            <w:r>
              <w:t xml:space="preserve"> à 48 tonnes</w:t>
            </w:r>
          </w:p>
        </w:tc>
        <w:tc>
          <w:tcPr>
            <w:tcW w:w="3544" w:type="dxa"/>
          </w:tcPr>
          <w:p w14:paraId="533E5BB1" w14:textId="77777777" w:rsidR="0002595C" w:rsidRDefault="0002595C" w:rsidP="006C2481">
            <w:pPr>
              <w:jc w:val="center"/>
            </w:pPr>
            <w:r>
              <w:t>1.209 €</w:t>
            </w:r>
          </w:p>
        </w:tc>
      </w:tr>
      <w:tr w:rsidR="0002595C" w14:paraId="75BC1E0C" w14:textId="77777777" w:rsidTr="00E54CEB">
        <w:tc>
          <w:tcPr>
            <w:tcW w:w="5103" w:type="dxa"/>
          </w:tcPr>
          <w:p w14:paraId="1DCCA6D6" w14:textId="77777777" w:rsidR="0002595C" w:rsidRDefault="00AD14A9" w:rsidP="009773C6">
            <w:pPr>
              <w:jc w:val="both"/>
            </w:pPr>
            <w:r>
              <w:t>Quantité</w:t>
            </w:r>
            <w:r w:rsidR="00112254">
              <w:t xml:space="preserve"> strictement</w:t>
            </w:r>
            <w:r>
              <w:t xml:space="preserve"> supérieure</w:t>
            </w:r>
            <w:r w:rsidR="00112254">
              <w:t xml:space="preserve"> </w:t>
            </w:r>
            <w:r>
              <w:t xml:space="preserve">à </w:t>
            </w:r>
            <w:r w:rsidR="001F77B2">
              <w:t>12</w:t>
            </w:r>
            <w:r>
              <w:t xml:space="preserve"> tonnes et inférieure</w:t>
            </w:r>
            <w:r w:rsidR="00112254">
              <w:t xml:space="preserve"> ou égale</w:t>
            </w:r>
            <w:r>
              <w:t xml:space="preserve"> à </w:t>
            </w:r>
            <w:r w:rsidR="001F77B2">
              <w:t>24</w:t>
            </w:r>
            <w:r>
              <w:t xml:space="preserve"> tonnes</w:t>
            </w:r>
          </w:p>
        </w:tc>
        <w:tc>
          <w:tcPr>
            <w:tcW w:w="3544" w:type="dxa"/>
          </w:tcPr>
          <w:p w14:paraId="4F29129E" w14:textId="77777777" w:rsidR="0002595C" w:rsidRDefault="001F77B2" w:rsidP="006C2481">
            <w:pPr>
              <w:jc w:val="center"/>
            </w:pPr>
            <w:r>
              <w:t>648 €</w:t>
            </w:r>
          </w:p>
        </w:tc>
      </w:tr>
      <w:tr w:rsidR="0002595C" w14:paraId="5594AC56" w14:textId="77777777" w:rsidTr="00E54CEB">
        <w:tc>
          <w:tcPr>
            <w:tcW w:w="5103" w:type="dxa"/>
          </w:tcPr>
          <w:p w14:paraId="4CD9ACB8" w14:textId="77777777" w:rsidR="0002595C" w:rsidRDefault="001F77B2" w:rsidP="009773C6">
            <w:pPr>
              <w:jc w:val="both"/>
            </w:pPr>
            <w:r>
              <w:t>Quantité</w:t>
            </w:r>
            <w:r w:rsidR="00112254">
              <w:t xml:space="preserve"> strictement</w:t>
            </w:r>
            <w:r>
              <w:t xml:space="preserve"> </w:t>
            </w:r>
            <w:r w:rsidR="00112254">
              <w:t xml:space="preserve">inférieure </w:t>
            </w:r>
            <w:r>
              <w:t xml:space="preserve">à </w:t>
            </w:r>
            <w:r w:rsidR="00112254">
              <w:t>12</w:t>
            </w:r>
            <w:r>
              <w:t xml:space="preserve"> tonnes</w:t>
            </w:r>
          </w:p>
        </w:tc>
        <w:tc>
          <w:tcPr>
            <w:tcW w:w="3544" w:type="dxa"/>
          </w:tcPr>
          <w:p w14:paraId="55C3DA25" w14:textId="77777777" w:rsidR="0002595C" w:rsidRDefault="00112254" w:rsidP="006C2481">
            <w:pPr>
              <w:jc w:val="center"/>
            </w:pPr>
            <w:r>
              <w:t>237 €</w:t>
            </w:r>
          </w:p>
        </w:tc>
      </w:tr>
    </w:tbl>
    <w:p w14:paraId="13D6B1B6" w14:textId="18C25174" w:rsidR="00BE31DF" w:rsidRPr="00E54CEB" w:rsidRDefault="00BE31DF" w:rsidP="00BE31DF">
      <w:pPr>
        <w:ind w:left="709"/>
        <w:jc w:val="both"/>
        <w:rPr>
          <w:sz w:val="10"/>
        </w:rPr>
      </w:pPr>
    </w:p>
    <w:p w14:paraId="0D31B7AF" w14:textId="63F9E0B3" w:rsidR="002746B0" w:rsidRDefault="002746B0" w:rsidP="00BE31DF">
      <w:pPr>
        <w:ind w:left="567"/>
        <w:jc w:val="both"/>
      </w:pPr>
      <w:r>
        <w:t xml:space="preserve">2.- </w:t>
      </w:r>
      <w:r w:rsidR="003000F7">
        <w:t>Soutien à la formation du personnel chargé de la collecte</w:t>
      </w:r>
    </w:p>
    <w:p w14:paraId="476078FC" w14:textId="04429103" w:rsidR="00A21C44" w:rsidRDefault="00F95FCE" w:rsidP="00BE31DF">
      <w:pPr>
        <w:ind w:left="567"/>
        <w:jc w:val="both"/>
      </w:pPr>
      <w:r>
        <w:t>L</w:t>
      </w:r>
      <w:r w:rsidR="003000F7">
        <w:t xml:space="preserve">e soutien </w:t>
      </w:r>
      <w:r>
        <w:t xml:space="preserve">à la formation (article B de l’annexe I) </w:t>
      </w:r>
      <w:r w:rsidR="00013E93">
        <w:t xml:space="preserve">consiste en </w:t>
      </w:r>
      <w:r w:rsidR="00EA3366">
        <w:t xml:space="preserve">une formation </w:t>
      </w:r>
      <w:r w:rsidR="00541B36">
        <w:t>à</w:t>
      </w:r>
      <w:r w:rsidR="00B913E7">
        <w:t xml:space="preserve"> la collecte séparée des DDS ménagers </w:t>
      </w:r>
      <w:r w:rsidR="00EA3366">
        <w:t>organisée par EcoDDS</w:t>
      </w:r>
      <w:r w:rsidR="00013E93">
        <w:t>,</w:t>
      </w:r>
      <w:r w:rsidR="00013E93" w:rsidRPr="00013E93">
        <w:t xml:space="preserve"> </w:t>
      </w:r>
      <w:r w:rsidR="00013E93">
        <w:t>sauf difficulté à organiser la formation du fait de la COLLECTIVITE</w:t>
      </w:r>
      <w:r w:rsidR="00EA3366">
        <w:t>.</w:t>
      </w:r>
      <w:r w:rsidR="00406F3D">
        <w:t xml:space="preserve"> </w:t>
      </w:r>
      <w:bookmarkStart w:id="3" w:name="_Hlk505114420"/>
      <w:r w:rsidR="00406F3D">
        <w:t xml:space="preserve">Ce soutien </w:t>
      </w:r>
      <w:r w:rsidR="001D7793">
        <w:t xml:space="preserve">est payé </w:t>
      </w:r>
      <w:r w:rsidR="00173F9A">
        <w:t xml:space="preserve">exclusivement </w:t>
      </w:r>
      <w:r w:rsidR="00406F3D">
        <w:t>en nature</w:t>
      </w:r>
      <w:r w:rsidR="00173F9A">
        <w:t xml:space="preserve"> par réalisation des formations</w:t>
      </w:r>
      <w:r w:rsidR="00406F3D">
        <w:t xml:space="preserve"> </w:t>
      </w:r>
      <w:r w:rsidR="001D7793">
        <w:t xml:space="preserve">à partir de </w:t>
      </w:r>
      <w:r w:rsidR="00406F3D">
        <w:t>2018</w:t>
      </w:r>
      <w:bookmarkEnd w:id="3"/>
      <w:r w:rsidR="00A21C44">
        <w:t xml:space="preserve">. </w:t>
      </w:r>
    </w:p>
    <w:p w14:paraId="5B0E2F2A" w14:textId="4331D9DC" w:rsidR="00A326BE" w:rsidRPr="00A326BE" w:rsidRDefault="00A326BE" w:rsidP="00BE31DF">
      <w:pPr>
        <w:ind w:left="567"/>
        <w:jc w:val="both"/>
      </w:pPr>
      <w:r w:rsidRPr="00A326BE">
        <w:t>3.- Soutien à l’information et à la communication locales</w:t>
      </w:r>
      <w:r w:rsidR="00406F3D">
        <w:t xml:space="preserve"> (payé </w:t>
      </w:r>
      <w:r w:rsidR="00137C71">
        <w:t>à partir de</w:t>
      </w:r>
      <w:r w:rsidR="00406F3D">
        <w:t xml:space="preserve"> 2019).</w:t>
      </w:r>
    </w:p>
    <w:p w14:paraId="4A34535F" w14:textId="306EA906" w:rsidR="00F54871" w:rsidRDefault="00F95FCE" w:rsidP="00BE31DF">
      <w:pPr>
        <w:ind w:left="567"/>
        <w:jc w:val="both"/>
      </w:pPr>
      <w:r>
        <w:t xml:space="preserve">Le soutien </w:t>
      </w:r>
      <w:r w:rsidRPr="00A326BE">
        <w:t>à l’information et à la communication locales</w:t>
      </w:r>
      <w:r>
        <w:t xml:space="preserve"> (article C de l’annexe I) </w:t>
      </w:r>
      <w:r w:rsidR="00DA4FDB">
        <w:t xml:space="preserve">pour une année civile complète </w:t>
      </w:r>
      <w:r w:rsidR="00A361C5">
        <w:t xml:space="preserve">d’exécution de la convention-type </w:t>
      </w:r>
      <w:r w:rsidR="00157460">
        <w:t xml:space="preserve">est de </w:t>
      </w:r>
      <w:r w:rsidR="00E26CEC">
        <w:t>0.0</w:t>
      </w:r>
      <w:r>
        <w:t xml:space="preserve">3 € par habitant </w:t>
      </w:r>
      <w:r w:rsidR="00A361C5">
        <w:t>relevant de</w:t>
      </w:r>
      <w:r>
        <w:t xml:space="preserve"> la COLLECTIVITE, </w:t>
      </w:r>
      <w:r w:rsidR="00DA4FDB">
        <w:t xml:space="preserve">la population de la COLLECTIVITE étant celle </w:t>
      </w:r>
      <w:r w:rsidR="00821E7F">
        <w:t xml:space="preserve">issue </w:t>
      </w:r>
      <w:r w:rsidR="00DA4FDB">
        <w:t>d</w:t>
      </w:r>
      <w:r>
        <w:t>es dernières statistiques officielles disponibles de l’INSEE au 1</w:t>
      </w:r>
      <w:r w:rsidRPr="00F95FCE">
        <w:rPr>
          <w:vertAlign w:val="superscript"/>
        </w:rPr>
        <w:t>er</w:t>
      </w:r>
      <w:r>
        <w:t xml:space="preserve"> janvier de l’année </w:t>
      </w:r>
      <w:r w:rsidR="00DA4FDB">
        <w:t>de collecte.</w:t>
      </w:r>
    </w:p>
    <w:p w14:paraId="546F39AE" w14:textId="3DC43A54" w:rsidR="00F710DE" w:rsidRDefault="00F559FC" w:rsidP="00BE31DF">
      <w:pPr>
        <w:ind w:left="567"/>
        <w:jc w:val="both"/>
      </w:pPr>
      <w:r>
        <w:t>4.- Sans préjudice des coûts des équipements de protection individuels déjà inclus dans les soutiens précédents, EcoDDS fourni</w:t>
      </w:r>
      <w:r w:rsidR="00C906BE">
        <w:t>t</w:t>
      </w:r>
      <w:r w:rsidR="001005FB">
        <w:t xml:space="preserve"> à la COLLECTIVITE, sauf si elle s’y oppose,</w:t>
      </w:r>
      <w:r>
        <w:t xml:space="preserve"> des kits d’équipements de protection individuelle pour les agents de </w:t>
      </w:r>
      <w:r w:rsidR="00902499">
        <w:t>déchetterie</w:t>
      </w:r>
      <w:r>
        <w:t xml:space="preserve">, constitués d’un </w:t>
      </w:r>
      <w:r w:rsidR="00AE2204">
        <w:t>« gilet de sécurité » (parfois appelé « gilet jaune »)</w:t>
      </w:r>
      <w:r>
        <w:t xml:space="preserve"> et d’une paire de gants pour produits chimiques, de liquide rince œil et de lunettes de protection.</w:t>
      </w:r>
      <w:r w:rsidR="004932A9">
        <w:t xml:space="preserve"> Le nom d’EcoDDS pourra être apposé sur ces équipements, dans le but de sensibiliser le public à la collecte sélective des DDS ménagers. Pour cette raison, les kits fournis par EcoDDS constitue</w:t>
      </w:r>
      <w:r w:rsidR="001005FB">
        <w:t>nt</w:t>
      </w:r>
      <w:r w:rsidR="004932A9">
        <w:t xml:space="preserve"> uniquement une dotation complémentaire en équipements de protection </w:t>
      </w:r>
      <w:r w:rsidR="001005FB">
        <w:t>individuel</w:t>
      </w:r>
      <w:r w:rsidR="00C906BE">
        <w:t>le</w:t>
      </w:r>
      <w:r w:rsidR="001005FB">
        <w:t>, fournie par EcoDDS une fois par an dans les quantités suivantes 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5670"/>
        <w:gridCol w:w="2688"/>
      </w:tblGrid>
      <w:tr w:rsidR="001005FB" w14:paraId="0BDA646D" w14:textId="77777777" w:rsidTr="00BE31DF">
        <w:tc>
          <w:tcPr>
            <w:tcW w:w="5670" w:type="dxa"/>
          </w:tcPr>
          <w:p w14:paraId="4A049DB4" w14:textId="77777777" w:rsidR="001005FB" w:rsidRDefault="001005FB" w:rsidP="00605D0B">
            <w:pPr>
              <w:jc w:val="both"/>
            </w:pPr>
            <w:r>
              <w:t xml:space="preserve">Quantité de DDS ménagers collectés </w:t>
            </w:r>
          </w:p>
        </w:tc>
        <w:tc>
          <w:tcPr>
            <w:tcW w:w="2688" w:type="dxa"/>
          </w:tcPr>
          <w:p w14:paraId="2E22E5E6" w14:textId="6115569A" w:rsidR="001005FB" w:rsidRDefault="001005FB" w:rsidP="00605D0B">
            <w:pPr>
              <w:jc w:val="both"/>
            </w:pPr>
            <w:r>
              <w:t xml:space="preserve">Nombre de kits par </w:t>
            </w:r>
            <w:r w:rsidR="00902499">
              <w:t>déchetterie</w:t>
            </w:r>
          </w:p>
        </w:tc>
      </w:tr>
      <w:tr w:rsidR="001005FB" w14:paraId="55525E77" w14:textId="77777777" w:rsidTr="00BE31DF">
        <w:tc>
          <w:tcPr>
            <w:tcW w:w="5670" w:type="dxa"/>
          </w:tcPr>
          <w:p w14:paraId="544B6218" w14:textId="77777777" w:rsidR="001005FB" w:rsidRDefault="001005FB" w:rsidP="00605D0B">
            <w:pPr>
              <w:jc w:val="both"/>
            </w:pPr>
            <w:r>
              <w:t xml:space="preserve">Quantité strictement supérieure à 48 tonnes </w:t>
            </w:r>
          </w:p>
        </w:tc>
        <w:tc>
          <w:tcPr>
            <w:tcW w:w="2688" w:type="dxa"/>
          </w:tcPr>
          <w:p w14:paraId="6AFF0AE8" w14:textId="77777777" w:rsidR="001005FB" w:rsidRDefault="001005FB" w:rsidP="00605D0B">
            <w:pPr>
              <w:jc w:val="center"/>
            </w:pPr>
            <w:r>
              <w:t>4</w:t>
            </w:r>
          </w:p>
        </w:tc>
      </w:tr>
      <w:tr w:rsidR="001005FB" w14:paraId="48289653" w14:textId="77777777" w:rsidTr="00BE31DF">
        <w:tc>
          <w:tcPr>
            <w:tcW w:w="5670" w:type="dxa"/>
          </w:tcPr>
          <w:p w14:paraId="53FEE28E" w14:textId="77777777" w:rsidR="001005FB" w:rsidRDefault="001005FB" w:rsidP="00605D0B">
            <w:pPr>
              <w:jc w:val="both"/>
            </w:pPr>
            <w:r>
              <w:t>Quantité strictement supérieure à 24 tonnes et inférieure ou égale à 48 tonnes</w:t>
            </w:r>
          </w:p>
        </w:tc>
        <w:tc>
          <w:tcPr>
            <w:tcW w:w="2688" w:type="dxa"/>
          </w:tcPr>
          <w:p w14:paraId="74464DEE" w14:textId="77777777" w:rsidR="001005FB" w:rsidRDefault="001005FB" w:rsidP="00605D0B">
            <w:pPr>
              <w:jc w:val="center"/>
            </w:pPr>
            <w:r>
              <w:t>3</w:t>
            </w:r>
          </w:p>
        </w:tc>
      </w:tr>
      <w:tr w:rsidR="001005FB" w14:paraId="7F29E3B7" w14:textId="77777777" w:rsidTr="00BE31DF">
        <w:tc>
          <w:tcPr>
            <w:tcW w:w="5670" w:type="dxa"/>
          </w:tcPr>
          <w:p w14:paraId="581BD986" w14:textId="77777777" w:rsidR="001005FB" w:rsidRDefault="001005FB" w:rsidP="00605D0B">
            <w:pPr>
              <w:jc w:val="both"/>
            </w:pPr>
            <w:r>
              <w:t>Quantité strictement supérieure à 12 tonnes et inférieure ou égale à 24 tonnes</w:t>
            </w:r>
          </w:p>
        </w:tc>
        <w:tc>
          <w:tcPr>
            <w:tcW w:w="2688" w:type="dxa"/>
          </w:tcPr>
          <w:p w14:paraId="3F74CEAF" w14:textId="77777777" w:rsidR="001005FB" w:rsidRDefault="001005FB" w:rsidP="00605D0B">
            <w:pPr>
              <w:jc w:val="center"/>
            </w:pPr>
            <w:r>
              <w:t>2</w:t>
            </w:r>
          </w:p>
        </w:tc>
      </w:tr>
      <w:tr w:rsidR="001005FB" w14:paraId="70158B00" w14:textId="77777777" w:rsidTr="00BE31DF">
        <w:tc>
          <w:tcPr>
            <w:tcW w:w="5670" w:type="dxa"/>
          </w:tcPr>
          <w:p w14:paraId="0511E303" w14:textId="77777777" w:rsidR="001005FB" w:rsidRDefault="001005FB" w:rsidP="00605D0B">
            <w:pPr>
              <w:jc w:val="both"/>
            </w:pPr>
            <w:r>
              <w:t>Quantité strictement inférieure à 12 tonnes</w:t>
            </w:r>
          </w:p>
        </w:tc>
        <w:tc>
          <w:tcPr>
            <w:tcW w:w="2688" w:type="dxa"/>
          </w:tcPr>
          <w:p w14:paraId="1A3EA390" w14:textId="77777777" w:rsidR="001005FB" w:rsidRDefault="001005FB" w:rsidP="00605D0B">
            <w:pPr>
              <w:jc w:val="center"/>
            </w:pPr>
            <w:r>
              <w:t>1</w:t>
            </w:r>
          </w:p>
        </w:tc>
      </w:tr>
    </w:tbl>
    <w:p w14:paraId="058267FA" w14:textId="77777777" w:rsidR="001005FB" w:rsidRDefault="001005FB" w:rsidP="009773C6">
      <w:pPr>
        <w:jc w:val="both"/>
      </w:pPr>
    </w:p>
    <w:p w14:paraId="76DBA7BA" w14:textId="6EFBA44E" w:rsidR="00CC7CA0" w:rsidRDefault="001005FB" w:rsidP="00BE31DF">
      <w:pPr>
        <w:ind w:left="567"/>
        <w:jc w:val="both"/>
      </w:pPr>
      <w:r>
        <w:t xml:space="preserve">Cette dotation annuelle n’exonère pas l’employeur des agents de </w:t>
      </w:r>
      <w:r w:rsidR="00902499">
        <w:t>déchetterie</w:t>
      </w:r>
      <w:r>
        <w:t xml:space="preserve"> de fournir à tout moment à l’ensemble des agents les équipements de protection individuel</w:t>
      </w:r>
      <w:r w:rsidR="00C906BE">
        <w:t>le</w:t>
      </w:r>
      <w:r>
        <w:t xml:space="preserve"> adéquats. L’opposition de la COLLECTIVITE à cette dotation en nature n’ouvre pas droit à compensation financière.</w:t>
      </w:r>
      <w:r w:rsidR="00A21C44" w:rsidRPr="00A21C44">
        <w:t xml:space="preserve"> </w:t>
      </w:r>
      <w:r w:rsidR="00215391">
        <w:t xml:space="preserve">Ce soutien </w:t>
      </w:r>
      <w:r w:rsidR="00173F9A">
        <w:t xml:space="preserve">est payé </w:t>
      </w:r>
      <w:r w:rsidR="00215391">
        <w:t xml:space="preserve">en nature </w:t>
      </w:r>
      <w:r w:rsidR="00173F9A">
        <w:t xml:space="preserve">par remise des kits </w:t>
      </w:r>
      <w:r w:rsidR="008A1DC1">
        <w:t>à partir d</w:t>
      </w:r>
      <w:r w:rsidR="00AE2204">
        <w:t xml:space="preserve">u deuxième semestre de chaque année (et du second semestre </w:t>
      </w:r>
      <w:r w:rsidR="00215391">
        <w:t>2018</w:t>
      </w:r>
      <w:r w:rsidR="00AE2204">
        <w:t>)</w:t>
      </w:r>
      <w:r w:rsidR="001E4C84">
        <w:t xml:space="preserve">, à l’une des dates de livraison fixées par EcoDDS avec son </w:t>
      </w:r>
      <w:r w:rsidR="00AE2204">
        <w:t>fournisseur</w:t>
      </w:r>
      <w:r w:rsidR="00CC7CA0">
        <w:t>.</w:t>
      </w:r>
    </w:p>
    <w:p w14:paraId="63BE7677" w14:textId="77777777" w:rsidR="00CC7CA0" w:rsidRDefault="00CC7CA0" w:rsidP="009773C6">
      <w:pPr>
        <w:jc w:val="both"/>
        <w:rPr>
          <w:b/>
          <w:u w:val="single"/>
        </w:rPr>
      </w:pPr>
    </w:p>
    <w:p w14:paraId="1CD3A2A7" w14:textId="25EC1E45" w:rsidR="00445268" w:rsidRDefault="00F54871" w:rsidP="009773C6">
      <w:pPr>
        <w:jc w:val="both"/>
        <w:rPr>
          <w:b/>
          <w:u w:val="single"/>
        </w:rPr>
      </w:pPr>
      <w:r w:rsidRPr="00F54871">
        <w:rPr>
          <w:b/>
          <w:u w:val="single"/>
        </w:rPr>
        <w:t>Article</w:t>
      </w:r>
      <w:r w:rsidR="005E22C6">
        <w:rPr>
          <w:b/>
          <w:u w:val="single"/>
        </w:rPr>
        <w:t> 2 : Conclusion et entrée en vigueur</w:t>
      </w:r>
    </w:p>
    <w:p w14:paraId="07152099" w14:textId="67103686" w:rsidR="00CB3525" w:rsidRDefault="005E22C6" w:rsidP="009773C6">
      <w:pPr>
        <w:jc w:val="both"/>
      </w:pPr>
      <w:r>
        <w:t>2</w:t>
      </w:r>
      <w:r w:rsidR="00CB3525">
        <w:t xml:space="preserve">.1.- </w:t>
      </w:r>
      <w:r w:rsidR="00157460">
        <w:t>Pour les c</w:t>
      </w:r>
      <w:r w:rsidR="00CB3525">
        <w:t>onventions-type conclues avant le 1</w:t>
      </w:r>
      <w:r w:rsidR="00CB3525" w:rsidRPr="00CB3525">
        <w:rPr>
          <w:vertAlign w:val="superscript"/>
        </w:rPr>
        <w:t>er</w:t>
      </w:r>
      <w:r w:rsidR="00CB3525">
        <w:t xml:space="preserve"> janvier 2018</w:t>
      </w:r>
    </w:p>
    <w:p w14:paraId="57960CFD" w14:textId="25891E2A" w:rsidR="000102F6" w:rsidRDefault="000102F6" w:rsidP="009773C6">
      <w:pPr>
        <w:jc w:val="both"/>
      </w:pPr>
      <w:r>
        <w:t xml:space="preserve">Le consentement des parties résulte d’une part de l’offre d’EcoDDS de conclure un avenant avec la COLLECTIVITE, matérialisée par la transmission à la COLLECTIVITE de deux exemplaires de l’avenant, et de </w:t>
      </w:r>
      <w:r w:rsidR="00786A8D">
        <w:t xml:space="preserve">la réception par EcoDDS d’un exemplaire de l’avenant signé par la COLLECTIVITE </w:t>
      </w:r>
      <w:r>
        <w:t>sans réserve ni modification.</w:t>
      </w:r>
    </w:p>
    <w:p w14:paraId="04A8B9B1" w14:textId="6E740DDF" w:rsidR="006A5168" w:rsidRDefault="000102F6" w:rsidP="009773C6">
      <w:pPr>
        <w:jc w:val="both"/>
      </w:pPr>
      <w:r>
        <w:t xml:space="preserve">L’offre d’EcoDDS expire le </w:t>
      </w:r>
      <w:r w:rsidR="00157460">
        <w:t>1</w:t>
      </w:r>
      <w:r w:rsidR="00157460" w:rsidRPr="00157460">
        <w:rPr>
          <w:vertAlign w:val="superscript"/>
        </w:rPr>
        <w:t>er</w:t>
      </w:r>
      <w:r w:rsidR="00157460">
        <w:t xml:space="preserve"> juillet 2018</w:t>
      </w:r>
      <w:r>
        <w:t>, de sorte que</w:t>
      </w:r>
      <w:r w:rsidR="00EA4D61" w:rsidRPr="00EA4D61">
        <w:t xml:space="preserve"> </w:t>
      </w:r>
      <w:r w:rsidR="00EA4D61">
        <w:t xml:space="preserve">l’exemplaire de l’avenant signé par la COLLECTIVITE doit être impérativement réceptionné par EcoDDS avant </w:t>
      </w:r>
      <w:r>
        <w:t>le 30 juin 2018</w:t>
      </w:r>
      <w:r w:rsidR="00EA4D61">
        <w:t xml:space="preserve"> inclus, pour que l’avenant puisse </w:t>
      </w:r>
      <w:r w:rsidR="006134CB">
        <w:t>être valablement conclu</w:t>
      </w:r>
      <w:r>
        <w:t>.</w:t>
      </w:r>
      <w:r w:rsidR="006134CB">
        <w:t xml:space="preserve"> </w:t>
      </w:r>
      <w:r w:rsidR="006A5168">
        <w:t xml:space="preserve">La </w:t>
      </w:r>
      <w:r w:rsidR="006134CB">
        <w:t>date de conclusion de l’avenant est alors l</w:t>
      </w:r>
      <w:r w:rsidR="006A5168">
        <w:t>a date de réception par EcoDDS d</w:t>
      </w:r>
      <w:r>
        <w:t>e l’</w:t>
      </w:r>
      <w:r w:rsidR="00D758D7">
        <w:t>exemplaire du</w:t>
      </w:r>
      <w:r w:rsidR="00CB3525">
        <w:t xml:space="preserve"> présent avenant </w:t>
      </w:r>
      <w:r w:rsidR="00D758D7">
        <w:t>signé par la COLLECTIVITE</w:t>
      </w:r>
      <w:r w:rsidR="006A5168">
        <w:t>.</w:t>
      </w:r>
    </w:p>
    <w:p w14:paraId="7292BC33" w14:textId="77777777" w:rsidR="00CB3525" w:rsidRDefault="00CB3525" w:rsidP="00CB3525">
      <w:pPr>
        <w:jc w:val="both"/>
      </w:pPr>
      <w:r>
        <w:t>L’avenant entre alors en vigueur r</w:t>
      </w:r>
      <w:r w:rsidR="00C90639">
        <w:t>étroactivement au 1</w:t>
      </w:r>
      <w:r w:rsidR="00C90639" w:rsidRPr="00CB3525">
        <w:rPr>
          <w:vertAlign w:val="superscript"/>
        </w:rPr>
        <w:t>er</w:t>
      </w:r>
      <w:r w:rsidR="00C90639">
        <w:t xml:space="preserve"> janvier 2018</w:t>
      </w:r>
      <w:r>
        <w:t>.</w:t>
      </w:r>
    </w:p>
    <w:p w14:paraId="50B9BA84" w14:textId="28B5B44D" w:rsidR="00C90639" w:rsidRDefault="00F50275" w:rsidP="00CB3525">
      <w:pPr>
        <w:jc w:val="both"/>
      </w:pPr>
      <w:bookmarkStart w:id="4" w:name="_Hlk505117050"/>
      <w:r>
        <w:t>I</w:t>
      </w:r>
      <w:r w:rsidR="003F0B64">
        <w:t xml:space="preserve">l est expressément précisé que les dispositions intitulées </w:t>
      </w:r>
      <w:r w:rsidR="003F0B64" w:rsidRPr="003F0B64">
        <w:t>« ANNEXE 3 – soutiens applicables au titre de la collecte effectuée à partir du 1er janvier 2018</w:t>
      </w:r>
      <w:r w:rsidR="003F0B64">
        <w:t xml:space="preserve"> » </w:t>
      </w:r>
      <w:r w:rsidR="002502EA">
        <w:t>s’applique</w:t>
      </w:r>
      <w:r w:rsidR="003F0B64">
        <w:t xml:space="preserve">nt </w:t>
      </w:r>
      <w:r w:rsidR="002502EA">
        <w:t>aux DDS ménagers collectés à partir du 1</w:t>
      </w:r>
      <w:r w:rsidR="002502EA" w:rsidRPr="00CB3525">
        <w:rPr>
          <w:vertAlign w:val="superscript"/>
        </w:rPr>
        <w:t>er</w:t>
      </w:r>
      <w:r w:rsidR="002502EA">
        <w:t xml:space="preserve"> janvier 2018.</w:t>
      </w:r>
    </w:p>
    <w:p w14:paraId="5DD2A4F8" w14:textId="20A7E7F1" w:rsidR="000102F6" w:rsidRDefault="000102F6" w:rsidP="00CB3525">
      <w:pPr>
        <w:jc w:val="both"/>
      </w:pPr>
    </w:p>
    <w:bookmarkEnd w:id="4"/>
    <w:p w14:paraId="42FF66F9" w14:textId="56D706B5" w:rsidR="00CB3525" w:rsidRDefault="005E22C6" w:rsidP="00CB3525">
      <w:pPr>
        <w:jc w:val="both"/>
      </w:pPr>
      <w:r>
        <w:t>2</w:t>
      </w:r>
      <w:r w:rsidR="00157460">
        <w:t>.2.- Pour les c</w:t>
      </w:r>
      <w:r w:rsidR="00CB3525">
        <w:t>onventions-type conclues après le 1</w:t>
      </w:r>
      <w:r w:rsidR="00CB3525" w:rsidRPr="00CB3525">
        <w:rPr>
          <w:vertAlign w:val="superscript"/>
        </w:rPr>
        <w:t>er</w:t>
      </w:r>
      <w:r w:rsidR="00CB3525">
        <w:t xml:space="preserve"> janvier 2018</w:t>
      </w:r>
    </w:p>
    <w:p w14:paraId="3B9EE842" w14:textId="772189FB" w:rsidR="00CB3525" w:rsidRDefault="00CB3525" w:rsidP="00CB3525">
      <w:pPr>
        <w:jc w:val="both"/>
      </w:pPr>
      <w:r>
        <w:t xml:space="preserve">L’avenant entre en vigueur </w:t>
      </w:r>
      <w:r w:rsidR="00D758D7">
        <w:t>à la date d’</w:t>
      </w:r>
      <w:r>
        <w:t>entrée en vigueur de la convention-type.</w:t>
      </w:r>
    </w:p>
    <w:p w14:paraId="0A053229" w14:textId="45C2289B" w:rsidR="00DE2855" w:rsidRDefault="00DE2855" w:rsidP="00DE2855">
      <w:pPr>
        <w:pStyle w:val="Paragraphedeliste"/>
        <w:jc w:val="both"/>
      </w:pPr>
    </w:p>
    <w:p w14:paraId="7C18FA0E" w14:textId="2E1F8301" w:rsidR="00445268" w:rsidRPr="00445268" w:rsidRDefault="00CB3525" w:rsidP="00445268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445268" w:rsidRPr="00445268">
        <w:rPr>
          <w:b/>
          <w:u w:val="single"/>
        </w:rPr>
        <w:t xml:space="preserve">rticle </w:t>
      </w:r>
      <w:r w:rsidR="005E22C6">
        <w:rPr>
          <w:b/>
          <w:u w:val="single"/>
        </w:rPr>
        <w:t>3 : Disposition finale</w:t>
      </w:r>
    </w:p>
    <w:p w14:paraId="653DDE53" w14:textId="52B3B7E2" w:rsidR="00445268" w:rsidRDefault="00445268" w:rsidP="00445268">
      <w:pPr>
        <w:jc w:val="both"/>
      </w:pPr>
      <w:r>
        <w:t>Les autres dispositions de la convention-type sont inchangées.</w:t>
      </w:r>
    </w:p>
    <w:p w14:paraId="53A22BF9" w14:textId="34EB489F" w:rsidR="00713BAB" w:rsidRDefault="00713BAB" w:rsidP="00445268">
      <w:pPr>
        <w:jc w:val="both"/>
      </w:pPr>
    </w:p>
    <w:p w14:paraId="7F623CD9" w14:textId="55E5A80D" w:rsidR="003B094C" w:rsidRDefault="003B094C" w:rsidP="003B094C">
      <w:pPr>
        <w:jc w:val="both"/>
      </w:pPr>
      <w:r>
        <w:t>Fait en deux exemplaires,</w:t>
      </w:r>
      <w:r w:rsidR="00453C0D">
        <w:t xml:space="preserve"> le</w:t>
      </w:r>
      <w:permStart w:id="1521232904" w:edGrp="everyone"/>
      <w:r w:rsidR="00453C0D" w:rsidRPr="00453C0D">
        <w:rPr>
          <w:u w:val="single"/>
        </w:rPr>
        <w:tab/>
      </w:r>
      <w:r w:rsidR="00453C0D" w:rsidRPr="00453C0D">
        <w:rPr>
          <w:u w:val="single"/>
        </w:rPr>
        <w:tab/>
      </w:r>
      <w:r w:rsidR="00453C0D" w:rsidRPr="00453C0D">
        <w:rPr>
          <w:u w:val="single"/>
        </w:rPr>
        <w:tab/>
      </w:r>
      <w:r w:rsidR="00453C0D" w:rsidRPr="00453C0D">
        <w:rPr>
          <w:u w:val="single"/>
        </w:rPr>
        <w:tab/>
      </w:r>
      <w:r w:rsidR="00453C0D" w:rsidRPr="00453C0D">
        <w:rPr>
          <w:u w:val="single"/>
        </w:rPr>
        <w:tab/>
      </w:r>
      <w:permEnd w:id="1521232904"/>
    </w:p>
    <w:p w14:paraId="76C53F46" w14:textId="77777777" w:rsidR="003B094C" w:rsidRDefault="003B094C" w:rsidP="003B094C">
      <w:pPr>
        <w:jc w:val="both"/>
      </w:pPr>
    </w:p>
    <w:p w14:paraId="1186FE15" w14:textId="6C21E84E" w:rsidR="00445268" w:rsidRDefault="003B094C" w:rsidP="003B094C">
      <w:pPr>
        <w:jc w:val="both"/>
      </w:pPr>
      <w:r>
        <w:t>Pour EcoDDS,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la COLLECTIVITE,</w:t>
      </w:r>
    </w:p>
    <w:sectPr w:rsidR="0044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C418" w14:textId="77777777" w:rsidR="00085AA6" w:rsidRDefault="00085AA6" w:rsidP="006B1E4F">
      <w:pPr>
        <w:spacing w:after="0" w:line="240" w:lineRule="auto"/>
      </w:pPr>
      <w:r>
        <w:separator/>
      </w:r>
    </w:p>
  </w:endnote>
  <w:endnote w:type="continuationSeparator" w:id="0">
    <w:p w14:paraId="3A48FFA8" w14:textId="77777777" w:rsidR="00085AA6" w:rsidRDefault="00085AA6" w:rsidP="006B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F4EA" w14:textId="77777777" w:rsidR="00605D0B" w:rsidRDefault="00605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40673"/>
      <w:docPartObj>
        <w:docPartGallery w:val="Page Numbers (Bottom of Page)"/>
        <w:docPartUnique/>
      </w:docPartObj>
    </w:sdtPr>
    <w:sdtEndPr/>
    <w:sdtContent>
      <w:p w14:paraId="6BE501EA" w14:textId="090A3AE7" w:rsidR="00605D0B" w:rsidRDefault="00605D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0D">
          <w:rPr>
            <w:noProof/>
          </w:rPr>
          <w:t>2</w:t>
        </w:r>
        <w:r>
          <w:fldChar w:fldCharType="end"/>
        </w:r>
      </w:p>
    </w:sdtContent>
  </w:sdt>
  <w:p w14:paraId="1098AA11" w14:textId="77777777" w:rsidR="00605D0B" w:rsidRDefault="00605D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2870" w14:textId="77777777" w:rsidR="00605D0B" w:rsidRDefault="00605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D34B" w14:textId="77777777" w:rsidR="00085AA6" w:rsidRDefault="00085AA6" w:rsidP="006B1E4F">
      <w:pPr>
        <w:spacing w:after="0" w:line="240" w:lineRule="auto"/>
      </w:pPr>
      <w:r>
        <w:separator/>
      </w:r>
    </w:p>
  </w:footnote>
  <w:footnote w:type="continuationSeparator" w:id="0">
    <w:p w14:paraId="3EF10DF0" w14:textId="77777777" w:rsidR="00085AA6" w:rsidRDefault="00085AA6" w:rsidP="006B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D4E1" w14:textId="77777777" w:rsidR="00605D0B" w:rsidRDefault="00605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0378" w14:textId="77777777" w:rsidR="00605D0B" w:rsidRDefault="00605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6D52" w14:textId="77777777" w:rsidR="00605D0B" w:rsidRDefault="00605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A80"/>
    <w:multiLevelType w:val="hybridMultilevel"/>
    <w:tmpl w:val="C14E84CC"/>
    <w:lvl w:ilvl="0" w:tplc="8732183A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C44F2"/>
    <w:multiLevelType w:val="hybridMultilevel"/>
    <w:tmpl w:val="7832B2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007E"/>
    <w:multiLevelType w:val="hybridMultilevel"/>
    <w:tmpl w:val="FF7A7258"/>
    <w:lvl w:ilvl="0" w:tplc="F21267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AePPi7pYCNN0hy8OM9xk4hm+Kvqr1dn4T9l9OGWefcujytcWEyGfB7j1Lqnjf2zCiYCxBAN1gG9p5RgFosu2vQ==" w:salt="xRjxp282nK63dXsHw9aI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7B"/>
    <w:rsid w:val="00002135"/>
    <w:rsid w:val="000102F6"/>
    <w:rsid w:val="00013E93"/>
    <w:rsid w:val="0002595C"/>
    <w:rsid w:val="00072F64"/>
    <w:rsid w:val="00085AA6"/>
    <w:rsid w:val="000F5C53"/>
    <w:rsid w:val="001005FB"/>
    <w:rsid w:val="001101F7"/>
    <w:rsid w:val="00112254"/>
    <w:rsid w:val="00115F19"/>
    <w:rsid w:val="00124AFB"/>
    <w:rsid w:val="00137C71"/>
    <w:rsid w:val="0014640E"/>
    <w:rsid w:val="0014752B"/>
    <w:rsid w:val="00157460"/>
    <w:rsid w:val="00173F9A"/>
    <w:rsid w:val="0017582E"/>
    <w:rsid w:val="00182D24"/>
    <w:rsid w:val="001D7793"/>
    <w:rsid w:val="001E4C84"/>
    <w:rsid w:val="001E5640"/>
    <w:rsid w:val="001F0831"/>
    <w:rsid w:val="001F5E5A"/>
    <w:rsid w:val="001F77B2"/>
    <w:rsid w:val="00215391"/>
    <w:rsid w:val="002267F3"/>
    <w:rsid w:val="002502EA"/>
    <w:rsid w:val="002746B0"/>
    <w:rsid w:val="00290684"/>
    <w:rsid w:val="002D13B9"/>
    <w:rsid w:val="003000F7"/>
    <w:rsid w:val="00316E9B"/>
    <w:rsid w:val="00321E26"/>
    <w:rsid w:val="00334C68"/>
    <w:rsid w:val="0034690C"/>
    <w:rsid w:val="003779FF"/>
    <w:rsid w:val="003B094C"/>
    <w:rsid w:val="003D7D3F"/>
    <w:rsid w:val="003F0B64"/>
    <w:rsid w:val="00406F3D"/>
    <w:rsid w:val="004420A8"/>
    <w:rsid w:val="00445268"/>
    <w:rsid w:val="00453C0D"/>
    <w:rsid w:val="004763F8"/>
    <w:rsid w:val="004932A9"/>
    <w:rsid w:val="00512C47"/>
    <w:rsid w:val="00541B36"/>
    <w:rsid w:val="0054471B"/>
    <w:rsid w:val="00587276"/>
    <w:rsid w:val="005A580B"/>
    <w:rsid w:val="005B0635"/>
    <w:rsid w:val="005E22C6"/>
    <w:rsid w:val="005F2D4B"/>
    <w:rsid w:val="00605D0B"/>
    <w:rsid w:val="006134CB"/>
    <w:rsid w:val="006409C2"/>
    <w:rsid w:val="00663D79"/>
    <w:rsid w:val="006A5168"/>
    <w:rsid w:val="006B1E4F"/>
    <w:rsid w:val="006C2481"/>
    <w:rsid w:val="006D35A6"/>
    <w:rsid w:val="006E41DE"/>
    <w:rsid w:val="006F7A57"/>
    <w:rsid w:val="00702B7D"/>
    <w:rsid w:val="00713BAB"/>
    <w:rsid w:val="0072268A"/>
    <w:rsid w:val="0076114A"/>
    <w:rsid w:val="00765AA1"/>
    <w:rsid w:val="00786A8D"/>
    <w:rsid w:val="007969B5"/>
    <w:rsid w:val="007C40A1"/>
    <w:rsid w:val="007C5F5B"/>
    <w:rsid w:val="008163D8"/>
    <w:rsid w:val="00821E7F"/>
    <w:rsid w:val="00846480"/>
    <w:rsid w:val="0087627B"/>
    <w:rsid w:val="00893E8E"/>
    <w:rsid w:val="008A1DC1"/>
    <w:rsid w:val="008E23FF"/>
    <w:rsid w:val="008F07C2"/>
    <w:rsid w:val="00902499"/>
    <w:rsid w:val="00933AB9"/>
    <w:rsid w:val="00947374"/>
    <w:rsid w:val="00954077"/>
    <w:rsid w:val="009773C6"/>
    <w:rsid w:val="009B3329"/>
    <w:rsid w:val="009C0AFC"/>
    <w:rsid w:val="009F3D44"/>
    <w:rsid w:val="009F5008"/>
    <w:rsid w:val="00A21C44"/>
    <w:rsid w:val="00A326BE"/>
    <w:rsid w:val="00A361C5"/>
    <w:rsid w:val="00A42E6F"/>
    <w:rsid w:val="00A475D8"/>
    <w:rsid w:val="00A62C69"/>
    <w:rsid w:val="00A94FC2"/>
    <w:rsid w:val="00A97D9C"/>
    <w:rsid w:val="00AD14A9"/>
    <w:rsid w:val="00AD56CA"/>
    <w:rsid w:val="00AE2204"/>
    <w:rsid w:val="00B53DFB"/>
    <w:rsid w:val="00B619E5"/>
    <w:rsid w:val="00B913E7"/>
    <w:rsid w:val="00BA7DF4"/>
    <w:rsid w:val="00BE31DF"/>
    <w:rsid w:val="00C13225"/>
    <w:rsid w:val="00C2101E"/>
    <w:rsid w:val="00C54148"/>
    <w:rsid w:val="00C54CC9"/>
    <w:rsid w:val="00C762D0"/>
    <w:rsid w:val="00C76EE7"/>
    <w:rsid w:val="00C90639"/>
    <w:rsid w:val="00C906BE"/>
    <w:rsid w:val="00C944C1"/>
    <w:rsid w:val="00C94652"/>
    <w:rsid w:val="00CA4D6C"/>
    <w:rsid w:val="00CB3525"/>
    <w:rsid w:val="00CC7CA0"/>
    <w:rsid w:val="00CD37F0"/>
    <w:rsid w:val="00D30AFA"/>
    <w:rsid w:val="00D377E9"/>
    <w:rsid w:val="00D758D7"/>
    <w:rsid w:val="00D87490"/>
    <w:rsid w:val="00D93B83"/>
    <w:rsid w:val="00DA2FC9"/>
    <w:rsid w:val="00DA4FDB"/>
    <w:rsid w:val="00DC353F"/>
    <w:rsid w:val="00DE2855"/>
    <w:rsid w:val="00DE6BA1"/>
    <w:rsid w:val="00E26CEC"/>
    <w:rsid w:val="00E34C97"/>
    <w:rsid w:val="00E45B37"/>
    <w:rsid w:val="00E54CEB"/>
    <w:rsid w:val="00E619D5"/>
    <w:rsid w:val="00E81714"/>
    <w:rsid w:val="00EA3366"/>
    <w:rsid w:val="00EA4D61"/>
    <w:rsid w:val="00EC7D4F"/>
    <w:rsid w:val="00ED2F79"/>
    <w:rsid w:val="00F059BF"/>
    <w:rsid w:val="00F50275"/>
    <w:rsid w:val="00F54871"/>
    <w:rsid w:val="00F559FC"/>
    <w:rsid w:val="00F710DE"/>
    <w:rsid w:val="00F95FCE"/>
    <w:rsid w:val="00FB10E0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FAA"/>
  <w15:chartTrackingRefBased/>
  <w15:docId w15:val="{ACFF81B9-B325-4E8E-9529-FF6113A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10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06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4D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D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D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D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D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6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E4F"/>
  </w:style>
  <w:style w:type="paragraph" w:styleId="Pieddepage">
    <w:name w:val="footer"/>
    <w:basedOn w:val="Normal"/>
    <w:link w:val="PieddepageCar"/>
    <w:uiPriority w:val="99"/>
    <w:unhideWhenUsed/>
    <w:rsid w:val="006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7258</Characters>
  <Application>Microsoft Office Word</Application>
  <DocSecurity>8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</dc:creator>
  <cp:keywords/>
  <dc:description/>
  <cp:lastModifiedBy>Aurélie GOULANGE</cp:lastModifiedBy>
  <cp:revision>2</cp:revision>
  <dcterms:created xsi:type="dcterms:W3CDTF">2018-02-12T13:10:00Z</dcterms:created>
  <dcterms:modified xsi:type="dcterms:W3CDTF">2018-02-12T13:10:00Z</dcterms:modified>
</cp:coreProperties>
</file>